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C2C8D">
      <w:pPr>
        <w:pStyle w:val="10"/>
        <w:spacing w:line="560" w:lineRule="exact"/>
        <w:ind w:firstLine="0"/>
        <w:rPr>
          <w:rFonts w:ascii="黑体" w:hAnsi="黑体" w:eastAsia="黑体" w:cs="Times New Roman"/>
          <w:sz w:val="32"/>
          <w:szCs w:val="32"/>
          <w:lang w:val="en-US" w:eastAsia="zh-CN" w:bidi="ar-SA"/>
        </w:rPr>
      </w:pPr>
      <w:r>
        <w:rPr>
          <w:rFonts w:ascii="黑体" w:hAnsi="黑体" w:eastAsia="黑体" w:cs="Times New Roman"/>
          <w:sz w:val="32"/>
          <w:szCs w:val="32"/>
          <w:lang w:val="en-US" w:eastAsia="zh-CN" w:bidi="ar-SA"/>
        </w:rPr>
        <w:t>附件2</w:t>
      </w:r>
    </w:p>
    <w:p w14:paraId="29C97378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17E35195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专业教育类课程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思政示范课程</w:t>
      </w:r>
      <w:r>
        <w:rPr>
          <w:rFonts w:ascii="Times New Roman" w:hAnsi="Times New Roman" w:eastAsia="方正小标宋简体" w:cs="Times New Roman"/>
          <w:sz w:val="44"/>
          <w:szCs w:val="44"/>
        </w:rPr>
        <w:t>评价指标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体系</w:t>
      </w:r>
    </w:p>
    <w:p w14:paraId="2BB24FEA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5"/>
        <w:tblW w:w="504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72"/>
        <w:gridCol w:w="997"/>
        <w:gridCol w:w="6978"/>
      </w:tblGrid>
      <w:tr w14:paraId="3C8F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tblHeader/>
          <w:jc w:val="center"/>
        </w:trPr>
        <w:tc>
          <w:tcPr>
            <w:tcW w:w="1100" w:type="pct"/>
            <w:gridSpan w:val="2"/>
            <w:shd w:val="clear" w:color="auto" w:fill="auto"/>
            <w:vAlign w:val="center"/>
          </w:tcPr>
          <w:p w14:paraId="69A576FF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考查要素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5773144C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考查点</w:t>
            </w:r>
          </w:p>
        </w:tc>
      </w:tr>
      <w:tr w14:paraId="33202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restart"/>
            <w:shd w:val="clear" w:color="auto" w:fill="auto"/>
            <w:vAlign w:val="center"/>
          </w:tcPr>
          <w:p w14:paraId="11E19243">
            <w:pPr>
              <w:pStyle w:val="12"/>
              <w:spacing w:line="520" w:lineRule="exact"/>
              <w:ind w:firstLine="1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58510F75">
            <w:pPr>
              <w:pStyle w:val="12"/>
              <w:spacing w:line="520" w:lineRule="exact"/>
              <w:ind w:firstLine="18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目标</w:t>
            </w: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5195815E">
            <w:pPr>
              <w:pStyle w:val="12"/>
              <w:spacing w:line="520" w:lineRule="exact"/>
              <w:ind w:firstLine="2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0C410F64">
            <w:pPr>
              <w:pStyle w:val="12"/>
              <w:spacing w:line="520" w:lineRule="exact"/>
              <w:ind w:firstLine="2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目标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2D9219CD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全面贯彻党的教育方针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，贯彻和体现党的二十大精神</w:t>
            </w:r>
          </w:p>
        </w:tc>
      </w:tr>
      <w:tr w14:paraId="7BD6F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6FED9D62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24CA8E16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239CDC61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推进习近平新时代中国特色社会主义思想进教材、进课堂、进学生头脑</w:t>
            </w:r>
          </w:p>
        </w:tc>
      </w:tr>
      <w:tr w14:paraId="47341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432D2AFD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7699E764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4E6B29A9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注意发挥社会主义核心价值观引领作用</w:t>
            </w:r>
          </w:p>
        </w:tc>
      </w:tr>
      <w:tr w14:paraId="18A24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63B157AD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5A4AB3DE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6ADDA11A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贯彻落实立德树人根本任务，促进学生德智体美全面发展</w:t>
            </w:r>
          </w:p>
        </w:tc>
      </w:tr>
      <w:tr w14:paraId="35248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528F2A61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7CAA6A7C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3EF9EB74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7FCBCEA8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注重对学生爱国、励志、求真、力行品质的塑造</w:t>
            </w:r>
          </w:p>
        </w:tc>
      </w:tr>
      <w:tr w14:paraId="510F7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55BFACFC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08F55154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4391B631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注重思想品德、专业技术能力、科学素养的培养，促进课程与思政教育同频共振</w:t>
            </w:r>
          </w:p>
        </w:tc>
      </w:tr>
      <w:tr w14:paraId="76245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47709CF3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41D141D1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650ADBDA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遵循教学规律，注重理想信念引领，体现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人文精神、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科学精神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工匠精神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等元素</w:t>
            </w:r>
          </w:p>
        </w:tc>
      </w:tr>
      <w:tr w14:paraId="5C535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restart"/>
            <w:shd w:val="clear" w:color="auto" w:fill="auto"/>
            <w:vAlign w:val="center"/>
          </w:tcPr>
          <w:p w14:paraId="60EEEAC2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288838FD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3A25E276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5C3D1E60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资源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49B32EA4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教材选用规范科学，按要求使用马工程教材</w:t>
            </w:r>
          </w:p>
        </w:tc>
      </w:tr>
      <w:tr w14:paraId="1B51E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5EF96F2D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13D1A0D0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2A95133C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教学文件齐备，格式规范，示范性强</w:t>
            </w:r>
          </w:p>
        </w:tc>
      </w:tr>
      <w:tr w14:paraId="3AC05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32DE4666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0F1EF60F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5DAC1E6D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教案中有明确的思政教育目标</w:t>
            </w:r>
          </w:p>
        </w:tc>
      </w:tr>
      <w:tr w14:paraId="043D1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540572C8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483E1CAD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61F2B288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凝聚各类优质资源，支撑教学目标的实现</w:t>
            </w:r>
          </w:p>
        </w:tc>
      </w:tr>
      <w:tr w14:paraId="0F87B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restart"/>
            <w:shd w:val="clear" w:color="auto" w:fill="auto"/>
            <w:vAlign w:val="center"/>
          </w:tcPr>
          <w:p w14:paraId="7573CF26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2868FBBC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7C91283D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0B4EE7A8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1E524B59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注重学生专业知识、科学思维与职业素养的教育，提高学生专业技能，培养学生科学精神</w:t>
            </w:r>
          </w:p>
        </w:tc>
      </w:tr>
      <w:tr w14:paraId="4F624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372D1245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2C23040F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0D699124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精选讲授内容，体系严谨，逻辑性强，重点、难点突出</w:t>
            </w:r>
          </w:p>
        </w:tc>
      </w:tr>
      <w:tr w14:paraId="31EA5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579BDD84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6399D265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00B0DF68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注意将经济社会发展和专业领域最新成果引入教学</w:t>
            </w:r>
          </w:p>
        </w:tc>
      </w:tr>
      <w:tr w14:paraId="7216A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02AB955E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45E65B31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7C097473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课程发挥思政功能点不少于5个</w:t>
            </w:r>
          </w:p>
        </w:tc>
      </w:tr>
      <w:tr w14:paraId="641EE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2738B2B8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6B5E9948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31A1B775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过程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2E5D2FBC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教师精神状态饱满，讲授条理清楚，信息量合理，课堂管理有效</w:t>
            </w:r>
          </w:p>
        </w:tc>
      </w:tr>
      <w:tr w14:paraId="6D99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34FCF9AB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6F026F55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0C7A5BA5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紧扣教学大纲，专业知识传授、解决问题能力训练与思想政治教育结合紧密</w:t>
            </w:r>
          </w:p>
        </w:tc>
      </w:tr>
      <w:tr w14:paraId="0E465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3FBB0608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0ADE2A17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361DF1C2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理论与实践相结合，对问题阐述深入浅出，能启发引导学生</w:t>
            </w:r>
          </w:p>
        </w:tc>
      </w:tr>
      <w:tr w14:paraId="19065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522B090A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423BBBCC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4CBFEC9C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注重教与学之间的有效互动与交流</w:t>
            </w:r>
          </w:p>
        </w:tc>
      </w:tr>
      <w:tr w14:paraId="16431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31FE3F23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7E0E31B3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教学手 段方法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795D34B1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合理运用各种教学媒体，创新教学模式，有机融入思政内容</w:t>
            </w:r>
          </w:p>
        </w:tc>
      </w:tr>
      <w:tr w14:paraId="69E19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3C43DE0C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6870E9DB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49FE7F9B">
            <w:pPr>
              <w:pStyle w:val="12"/>
              <w:spacing w:line="52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课件设计重点突出，使用效果好</w:t>
            </w:r>
          </w:p>
        </w:tc>
      </w:tr>
      <w:tr w14:paraId="4E4C8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59AD3A0F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0A345DA1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34D2083E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因材施教，灵活运用多种教学方法，引导学生用正确的方法认识和解决问题</w:t>
            </w:r>
          </w:p>
        </w:tc>
      </w:tr>
      <w:tr w14:paraId="4B040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774B8F62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1202D0D4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3A8E8E0D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实验实践活动与理论教学互为补充，有良好的实践育人效果</w:t>
            </w:r>
          </w:p>
        </w:tc>
      </w:tr>
      <w:tr w14:paraId="481AE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0F1719FE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7F36B622">
            <w:pPr>
              <w:spacing w:line="5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089840D6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运用“三笔一话”能力良好</w:t>
            </w:r>
          </w:p>
        </w:tc>
      </w:tr>
      <w:tr w14:paraId="5AAA6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restart"/>
            <w:shd w:val="clear" w:color="auto" w:fill="auto"/>
            <w:vAlign w:val="center"/>
          </w:tcPr>
          <w:p w14:paraId="7083642E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4275B7AD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评价</w:t>
            </w: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0556F4BE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专家同 行评价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12D6B4D3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课程目标有效达成</w:t>
            </w:r>
          </w:p>
        </w:tc>
      </w:tr>
      <w:tr w14:paraId="36971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61D9E917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650A49A9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02533E9B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校内督导评价良好</w:t>
            </w:r>
          </w:p>
        </w:tc>
      </w:tr>
      <w:tr w14:paraId="669F1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49505B47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19827AB7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7A350C4E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有效挖掘专业知识中的思政元素</w:t>
            </w:r>
          </w:p>
        </w:tc>
      </w:tr>
      <w:tr w14:paraId="470DB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39688E8E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018609B7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学生</w:t>
            </w:r>
          </w:p>
          <w:p w14:paraId="7B8A9409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评教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4F5762B2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对本课程接受程度高、喜闻乐见</w:t>
            </w:r>
          </w:p>
        </w:tc>
      </w:tr>
      <w:tr w14:paraId="4347D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40D3B15D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0653C381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0CE0B780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学生评价良好</w:t>
            </w:r>
          </w:p>
        </w:tc>
      </w:tr>
      <w:tr w14:paraId="62E23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restart"/>
            <w:shd w:val="clear" w:color="auto" w:fill="auto"/>
            <w:vAlign w:val="center"/>
          </w:tcPr>
          <w:p w14:paraId="0A5A04C9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07617A97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17B6FF7E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3637FE88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坚持“四个相统一”，师德师风良好</w:t>
            </w:r>
          </w:p>
        </w:tc>
      </w:tr>
      <w:tr w14:paraId="44132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7331CC19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7A9E3760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7EB57F6C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组织能力强，带头作用明显</w:t>
            </w:r>
          </w:p>
        </w:tc>
      </w:tr>
      <w:tr w14:paraId="5014C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4AA9BECF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29226EA6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213008BC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专业知识丰富，教学能力强，教学经验丰富，教学特色鲜明</w:t>
            </w:r>
          </w:p>
        </w:tc>
      </w:tr>
      <w:tr w14:paraId="7A9AD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4A7DB50F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31CC00FA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团队</w:t>
            </w:r>
          </w:p>
          <w:p w14:paraId="308022B6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建设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16C87ACF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师德师风良好</w:t>
            </w:r>
          </w:p>
        </w:tc>
      </w:tr>
      <w:tr w14:paraId="5B5BD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725BCF5C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6DAB663B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0F7814A2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专业、学缘、年龄结构合理</w:t>
            </w:r>
          </w:p>
        </w:tc>
      </w:tr>
      <w:tr w14:paraId="4F829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77288252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7F71955A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462795F3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教师专业能力、教学态度、授课质量俱佳</w:t>
            </w:r>
          </w:p>
        </w:tc>
      </w:tr>
      <w:tr w14:paraId="74745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restart"/>
            <w:shd w:val="clear" w:color="auto" w:fill="auto"/>
            <w:vAlign w:val="center"/>
          </w:tcPr>
          <w:p w14:paraId="1BB6FB2E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加分项</w:t>
            </w:r>
          </w:p>
        </w:tc>
        <w:tc>
          <w:tcPr>
            <w:tcW w:w="557" w:type="pct"/>
            <w:vMerge w:val="restart"/>
            <w:shd w:val="clear" w:color="auto" w:fill="auto"/>
            <w:vAlign w:val="center"/>
          </w:tcPr>
          <w:p w14:paraId="4BCA3721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305AFFF4">
            <w:pPr>
              <w:pStyle w:val="12"/>
              <w:spacing w:line="52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特色</w:t>
            </w:r>
          </w:p>
        </w:tc>
        <w:tc>
          <w:tcPr>
            <w:tcW w:w="3899" w:type="pct"/>
            <w:shd w:val="clear" w:color="auto" w:fill="auto"/>
            <w:vAlign w:val="center"/>
          </w:tcPr>
          <w:p w14:paraId="4DB1A782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本课程改革后的创新点</w:t>
            </w:r>
          </w:p>
        </w:tc>
      </w:tr>
      <w:tr w14:paraId="7272B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543" w:type="pct"/>
            <w:vMerge w:val="continue"/>
            <w:shd w:val="clear" w:color="auto" w:fill="auto"/>
            <w:vAlign w:val="center"/>
          </w:tcPr>
          <w:p w14:paraId="157EEC88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557" w:type="pct"/>
            <w:vMerge w:val="continue"/>
            <w:shd w:val="clear" w:color="auto" w:fill="auto"/>
            <w:vAlign w:val="center"/>
          </w:tcPr>
          <w:p w14:paraId="4A7ACC26">
            <w:p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3899" w:type="pct"/>
            <w:shd w:val="clear" w:color="auto" w:fill="auto"/>
            <w:vAlign w:val="center"/>
          </w:tcPr>
          <w:p w14:paraId="3D81D406">
            <w:pPr>
              <w:pStyle w:val="12"/>
              <w:spacing w:line="520" w:lineRule="exact"/>
              <w:ind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与同类课程相比较特色与亮点</w:t>
            </w:r>
          </w:p>
        </w:tc>
      </w:tr>
    </w:tbl>
    <w:p w14:paraId="3E7B42F6">
      <w:pPr>
        <w:spacing w:line="560" w:lineRule="exact"/>
        <w:jc w:val="left"/>
        <w:rPr>
          <w:rFonts w:ascii="Times New Roman" w:hAnsi="Times New Roman" w:eastAsia="PMingLiU" w:cs="Times New Roman"/>
          <w:sz w:val="32"/>
          <w:szCs w:val="32"/>
          <w:lang w:eastAsia="zh-TW"/>
        </w:rPr>
      </w:pPr>
    </w:p>
    <w:sectPr>
      <w:footerReference r:id="rId3" w:type="default"/>
      <w:pgSz w:w="11906" w:h="16838"/>
      <w:pgMar w:top="1701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08114009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33456B81">
        <w:pPr>
          <w:pStyle w:val="3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 w14:paraId="1D865256"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23695-31A5-4378-9980-89732323E5A1}">
  <ds:schemaRefs/>
</ds:datastoreItem>
</file>